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E11A" w14:textId="77777777" w:rsidR="00C63F98" w:rsidRPr="008E5BC1" w:rsidRDefault="00C63F98" w:rsidP="00C63F98">
      <w:pPr>
        <w:shd w:val="clear" w:color="auto" w:fill="FFFFFF"/>
        <w:spacing w:after="0" w:line="240" w:lineRule="auto"/>
        <w:ind w:firstLine="993"/>
        <w:jc w:val="center"/>
        <w:textAlignment w:val="top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Новые зарплатные правила и МЧД: экспресс</w:t>
      </w: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noBreakHyphen/>
        <w:t>обзор изменений второго полугодия</w:t>
      </w:r>
    </w:p>
    <w:p w14:paraId="25656BBA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EE28AC6" w14:textId="77777777" w:rsidR="00C63F98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Собрали быстрый обзор важных поправок в работе, к которым предстоит приноровиться в этом полугодии. Хорошая новость: изменений, которые касаются большинства компаний, в этот раз немного. Обо всех поправках прочитаете в этом спецвыпуске</w:t>
      </w:r>
    </w:p>
    <w:p w14:paraId="13F29D5B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5D8B7437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Изменения в расчете оплаты труда</w:t>
      </w:r>
    </w:p>
    <w:p w14:paraId="49F638BF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Считать зарплату тем, кто привык работать сверхурочно, нужно по новым правилам. Если коротко, то платить трудоголикам необходимо больше, чем требует текущая редакция </w:t>
      </w:r>
      <w:hyperlink r:id="rId4" w:anchor="XA00M702MC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статьи 152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ТК.</w:t>
      </w:r>
    </w:p>
    <w:p w14:paraId="05EBDE44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Сейчас по ТК сверхурочные можно считать только из оклада. Но Конституционный суд признал нынешний порядок оплаты сверхурочной работы несправедливым и постановил делать расчеты по своей формуле (постановление Конституционного суда от 27.06.2023 № 35-П, п. 13 Обзора практики Конституционного суда за 2-й квартал 2023 года). Сейчас по временным правилам увеличивать в полтора или два раза нужно только выплату из оклада, а из премий и надбавок считать одинарную доплату.</w:t>
      </w:r>
    </w:p>
    <w:p w14:paraId="44BA993D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Депутаты формулу КС модернизировали. С 1 сентября начнут действовать поправки в ТК. За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сверхурочку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сотрудникам потребуется платить даже больше, чем требуют сейчас судьи.</w:t>
      </w:r>
    </w:p>
    <w:p w14:paraId="45959E63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Формулы расчета сверхурочных по новым правилам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4"/>
      </w:tblGrid>
      <w:tr w:rsidR="00C63F98" w:rsidRPr="001E3C4D" w14:paraId="0C9AD742" w14:textId="77777777" w:rsidTr="00C63F98">
        <w:tc>
          <w:tcPr>
            <w:tcW w:w="1020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7EA2504" w14:textId="25B6E24A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5B11943" wp14:editId="06027441">
                  <wp:extent cx="5643081" cy="991938"/>
                  <wp:effectExtent l="0" t="0" r="0" b="0"/>
                  <wp:docPr id="35928553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406" cy="99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0B96C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Обязательный переход на МЧД</w:t>
      </w:r>
    </w:p>
    <w:p w14:paraId="6D1631C8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Момент окончательного перехода на машиночитаемые доверенности налоговики оттягивали, как могли, но теперь он состоится. А это значит, что к 1 сентября у сотрудников, которые представляют вашу компанию, например, в налоговой и фонде, должны быть на руках электронные подписи физлиц в связке с МЧД. Мы протестировали три способа, которые позволяют выпустить доверенности. </w:t>
      </w:r>
    </w:p>
    <w:p w14:paraId="0780C5CA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Другие изменения в работе</w:t>
      </w:r>
    </w:p>
    <w:p w14:paraId="72307ADF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Во втором полугодии вступает в силу множество других поправок, их приводим в таблице. Изменятся правила по НДС, кадровой работе, налогу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на имущество и не только. Коротко рассказываем, как было и как стало. Одни изменения вступили в силу 1 июля, другие заработают с 1 сентября. </w:t>
      </w:r>
    </w:p>
    <w:p w14:paraId="48E6A875" w14:textId="77777777" w:rsidR="00C63F98" w:rsidRPr="008E5BC1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ED1B23"/>
          <w:kern w:val="0"/>
          <w:sz w:val="27"/>
          <w:szCs w:val="27"/>
          <w:lang w:eastAsia="ru-RU"/>
        </w:rPr>
        <w:t>Срочная новость от 4 июля.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Минфин дорабатывает проект о налоговой реформе ко второму чтению, которое наметили на 9 июля. Чиновники уточнили, что изменится. Компании на УСН с доходами до 60 млн освободятся от НДС автоматически, без уведомлений. Освобождение будет касаться и тех, кто торгует подакцизными товарами. Больше компаний смогут применять пониженную ставку по налогу на прибыль – ее будут устанавливать регионы для малых технологических компаний. Для IT-организаций до 2030 года будет действовать ставка 5 процентов.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Курортный  сбор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преобразуют в туристический налог со ставкой 1 процент от стоимости проживания. Ставка будет расти на 1 процент ежегодно и к 2029 году достигнет 5 процентов. Как только закон примут, мы сообщим окончательные условия налоговой реформы со всеми подробностями.</w:t>
      </w:r>
    </w:p>
    <w:p w14:paraId="53D97CA0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598EE415" w14:textId="77777777" w:rsidR="00C63F98" w:rsidRPr="001E3C4D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Поправки, которые чиновники уже утвердили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6188"/>
      </w:tblGrid>
      <w:tr w:rsidR="00C63F98" w:rsidRPr="001E3C4D" w14:paraId="16EACE94" w14:textId="77777777" w:rsidTr="004C68BC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59D0F14A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Как было в первом полугодии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FC580CB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Как будет во втором полугодии</w:t>
            </w:r>
          </w:p>
        </w:tc>
      </w:tr>
      <w:tr w:rsidR="00C63F98" w:rsidRPr="001E3C4D" w14:paraId="2187DFDD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903CDA5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Налоги</w:t>
            </w:r>
          </w:p>
          <w:p w14:paraId="31F51087" w14:textId="4EDE7F41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623289C" wp14:editId="12C94811">
                  <wp:extent cx="1525905" cy="1202055"/>
                  <wp:effectExtent l="0" t="0" r="0" b="0"/>
                  <wp:docPr id="125425528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Обновили декларацию по НДС для иностранных компаний, которые оказывают электронные услуги</w:t>
            </w:r>
          </w:p>
        </w:tc>
      </w:tr>
      <w:tr w:rsidR="00C63F98" w:rsidRPr="001E3C4D" w14:paraId="09F24695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4A3EC6F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Старая форма включала титульный лист и три раздела. В строках 100—130 раздела 1 компании писали код ОКТМО, КБК, общую стоимость услуг и общую сумму НДС к уплате. Сведения для расчета НДС отражали в строках 200—260 раздела 2, а информацию об электронных услугах, которые освобождены от НДС, — в строках 300—345 раздела 3 декларации (</w:t>
            </w:r>
            <w:hyperlink r:id="rId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 от 30.11.2016 № ММВ-7-3/646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B265A5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в разделе 1 порядка заполнения уточнили перечень иностранных организаций, обязанных отчитываться по НДС (</w:t>
            </w:r>
            <w:hyperlink r:id="rId8" w:anchor="XA00M602MF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8 ст. 172.4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 Это иностранные компании, которые продают электронные услуги физлицам без статуса ИП в России, или их иностранные посредники, которые участвуют в расчетах. Такие компании обязаны встать на учет в инспекции на территории РФ (</w:t>
            </w:r>
            <w:hyperlink r:id="rId9" w:anchor="ZAP1PMA3A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4.6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83, </w:t>
            </w:r>
            <w:hyperlink r:id="rId10" w:anchor="ZAP25LM3HQ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174.2 НК). Новые строки в разделы декларации не добавили, порядок заполнения остался прежним (</w:t>
            </w:r>
            <w:hyperlink r:id="rId1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 ФНС от 05.12.2023 № ЕД-7-3/933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11A62349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8A7B3A" w14:textId="4C8E1F70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D9B985" wp14:editId="0C4BA1E2">
                  <wp:extent cx="1525905" cy="1202055"/>
                  <wp:effectExtent l="0" t="0" r="0" b="0"/>
                  <wp:docPr id="36884128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Продавцы из ЕАЭС обязаны платить НДС при торговле через маркетплейсы</w:t>
            </w:r>
          </w:p>
        </w:tc>
      </w:tr>
      <w:tr w:rsidR="00C63F98" w:rsidRPr="001E3C4D" w14:paraId="4EAEC7EA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DA45860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 компаний из ЕАЭС не было обязанности исчислять и платить НДС при реализации товаров физлицам без статуса ИП через маркетплейсы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4DF1ED7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компании-продавцы из ЕАЭС обязаны исчислять и платить НДС. Предпринимателям такую обязанность добавят с 1 января 2025 года. Если иностранные продавцы реализуют товары с помощью иностранных или российских посредников, то удержать и заплатить НДС в качестве налоговых агентов обязаны посредники (</w:t>
            </w:r>
            <w:hyperlink r:id="rId13" w:anchor="ZAP1PMA3A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4.6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83, </w:t>
            </w:r>
            <w:hyperlink r:id="rId14" w:anchor="XA00S0C2P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п. 1 ст. 147, </w:t>
            </w:r>
            <w:hyperlink r:id="rId1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ст. 174.3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НК, </w:t>
            </w:r>
            <w:hyperlink r:id="rId1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 29.05.2024 № 100-ФЗ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6381BFF7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238437C" w14:textId="5470B251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4AEFCC9" wp14:editId="535DE6EB">
                  <wp:extent cx="1525905" cy="1202055"/>
                  <wp:effectExtent l="0" t="0" r="0" b="0"/>
                  <wp:docPr id="137323569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Расширили перечень гостиничных услуг, которые можно облагать НДС по нулевой ставке</w:t>
            </w:r>
          </w:p>
        </w:tc>
      </w:tr>
      <w:tr w:rsidR="00C63F98" w:rsidRPr="001E3C4D" w14:paraId="63DBB103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3AE515C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Гостиничные услуги, которые указаны в </w:t>
            </w:r>
            <w:hyperlink r:id="rId1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разделах VII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—VIII </w:t>
            </w:r>
            <w:hyperlink r:id="rId1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приложения 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к Положению, утвержденному </w:t>
            </w:r>
            <w:hyperlink r:id="rId2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постановлением Правительства от 18.11.2020 № 1860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и входят в единую цену номера или места, облагают по ставке НДС 0 процентов (</w:t>
            </w:r>
            <w:hyperlink r:id="rId21" w:anchor="XA00M962NE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п. 1 ст. 164 НК, </w:t>
            </w:r>
            <w:hyperlink r:id="rId2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письмо Минфина от 27.07.2022 № 03-07-15/73570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173D5BE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сентября действует новый перечень гостиничных услуг, которые облагаются НДС по нулевой ставке, если их включить в единую цену номера или места. В список добавили услуги тренажерного зала или фитнеса, плавательного бассейна, бани, косметические процедуры, доступ в интернет, конференц-зал, охраняемую автостоянку (</w:t>
            </w:r>
            <w:hyperlink r:id="rId2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08.05.2024 № 596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158E368D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E22BBDE" w14:textId="4B86B47E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2459DA" wp14:editId="1954211A">
                  <wp:extent cx="1525905" cy="1202055"/>
                  <wp:effectExtent l="0" t="0" r="0" b="0"/>
                  <wp:docPr id="192600103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Заявления на отсрочку, рассрочку по налогам, взносам и инвестиционному налоговому кредиту подавайте в соответствии с новыми лимитами</w:t>
            </w:r>
          </w:p>
        </w:tc>
      </w:tr>
      <w:tr w:rsidR="00C63F98" w:rsidRPr="001E3C4D" w14:paraId="3426400D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BCF7F4A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Заявление на сумму менее 10 млн руб. подавали в УФНС, более 10 млн руб. — в МИ ФНС по управлению долгом (</w:t>
            </w:r>
            <w:hyperlink r:id="rId2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30.11.2022 № ЕД-7-8/1134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252F8F9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30 июня подавайте в УФНС заявление на сумму менее 50 млн руб. В МИ ФНС — на сумму свыше 50 млн руб. (</w:t>
            </w:r>
            <w:hyperlink r:id="rId2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16.02.2024 № ЕД-7-8/137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106A8101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73F329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bookmarkStart w:id="0" w:name="kassa"/>
            <w:bookmarkEnd w:id="0"/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Касса и банк</w:t>
            </w:r>
          </w:p>
          <w:p w14:paraId="0D444DD4" w14:textId="4D67E30F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597C7D4" wp14:editId="426F9304">
                  <wp:extent cx="1525905" cy="1202055"/>
                  <wp:effectExtent l="0" t="0" r="0" b="0"/>
                  <wp:docPr id="20299150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Размен денег оформляйте квитанцией</w:t>
            </w:r>
          </w:p>
        </w:tc>
      </w:tr>
      <w:tr w:rsidR="00C63F98" w:rsidRPr="001E3C4D" w14:paraId="6E7ABD08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0E3C5AC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Перечень кассовых операций включает прием, пересчет и выдачу наличных (</w:t>
            </w:r>
            <w:hyperlink r:id="rId26" w:anchor="XA00LU62M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2 Указания ЦБ от 11.03.2014 № 3210-У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D234E2C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октября 2024 года во время обмена купюр и монет одного номинала на купюры и монеты другого кассир будет обязан оформить квитанцию о размене наличных денег (</w:t>
            </w:r>
            <w:hyperlink r:id="rId2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Указание ЦБ от 09.01.2024 № 6658-У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6793A86F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5B2CDF2" w14:textId="7F0DC786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6AD9DC5E" wp14:editId="212E0F4D">
                  <wp:extent cx="1525905" cy="1202055"/>
                  <wp:effectExtent l="0" t="0" r="0" b="0"/>
                  <wp:docPr id="209890869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 счетах за границей уведомляйте налоговиков на новых бланках</w:t>
            </w:r>
          </w:p>
        </w:tc>
      </w:tr>
      <w:tr w:rsidR="00C63F98" w:rsidRPr="001E3C4D" w14:paraId="6F894F1C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B19D57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Организациям — резидентам РФ не требовалось уведомлять ИФНС об открытии, закрытии или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изменении реквизитов зарубежных счетов юрлиц-нерезидентов, с которыми они входят в одну международную группу компаний (</w:t>
            </w:r>
            <w:hyperlink r:id="rId2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24.04.2020 № ЕД-7-14/272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6EDE57B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 1 июля вступили в силу новые формы уведомлений по заграничным счетам в банках: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об открытии и закрытии счета (вклада);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изменении реквизитов счета (вклада);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 xml:space="preserve">— наличии счета, открытого по разрешению,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действие которого прекратилось.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Юрлица-резиденты теперь обязаны уведомлять ИФНС об изменениях по зарубежным счетам юрлиц-нерезидентов, с которыми они входят в одну международную группу компаний (</w:t>
            </w:r>
            <w:hyperlink r:id="rId2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26.04.2024 № СД-7-14/349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60C8C6F8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1ACE48E" w14:textId="04E1F4A6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E7DF82" wp14:editId="1443B776">
                  <wp:extent cx="1525905" cy="1202055"/>
                  <wp:effectExtent l="0" t="0" r="0" b="0"/>
                  <wp:docPr id="51370117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Отчеты о движении денег по заграничным счетам составляйте по новым формам</w:t>
            </w:r>
          </w:p>
        </w:tc>
      </w:tr>
      <w:tr w:rsidR="00C63F98" w:rsidRPr="001E3C4D" w14:paraId="254E6950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185F875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Участники международных групп компаний не сдавали отчет и не получали извещение о возложении обязанности по представлению отчета на участника группы (</w:t>
            </w:r>
            <w:hyperlink r:id="rId3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28.12.2005 № 819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995B3F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применяйте две новые формы отчета о движении денежных средств по счетам и вкладам за границей. Первая — для обычных компаний и ИП, которые отчитываются по собственным счетам. Вторая — для организаций-резидентов, которые входят в международные группы компаний с нерезидентами и отчитываются по счетам таких нерезидентов (</w:t>
            </w:r>
            <w:hyperlink r:id="rId3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22.05.2024 № 633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211D7669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C2AEB58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Кадровая работа</w:t>
            </w:r>
          </w:p>
          <w:p w14:paraId="25935B2C" w14:textId="2639A5CA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547664A7" wp14:editId="0AF2F8A6">
                  <wp:extent cx="1525905" cy="1202055"/>
                  <wp:effectExtent l="0" t="0" r="0" b="0"/>
                  <wp:docPr id="61406579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Работодатели будут отчитываться в центры занятости на новых бланках</w:t>
            </w:r>
          </w:p>
        </w:tc>
      </w:tr>
      <w:tr w:rsidR="00C63F98" w:rsidRPr="001E3C4D" w14:paraId="4FDF0B8A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254624E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Необходимо информировать службу занятости о ликвидации компании или прекращении деятельности ИП, сокращении штата, режиме неполного времени и простое, временной дистанционке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 инициативе работодателя, банкротстве компании, вакансиях, выполнении квот для инвалидов и других действиях, которые влияют на ситуацию на рынке труда (</w:t>
            </w:r>
            <w:hyperlink r:id="rId32" w:anchor="XA00MA42N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ст. 53 Федерального закона от 12.12.2023 № 565-ФЗ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4BFABD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 1 сентября действуют новые бланки: — о ликвидации компании или «закрытии» ИП и о сокращении штата (форма № 1);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режиме неполного рабочего времени, простое (формы № 2 и № 3);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временной дистанционке по инициативе работодателя (форма № 4);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банкротстве работодателя (форма № 5), вакансиях (форма № 6);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— выполнении квот для инвалидов (форма № 7) (</w:t>
            </w:r>
            <w:hyperlink r:id="rId3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Минтруда от 16.04.2024 № 195н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069D50A6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CA86AC" w14:textId="0CAF4779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00401F" wp14:editId="1FA15E67">
                  <wp:extent cx="1525905" cy="1202055"/>
                  <wp:effectExtent l="0" t="0" r="0" b="0"/>
                  <wp:docPr id="55503579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Работодатели должны больше платить за прием иностранцев</w:t>
            </w:r>
          </w:p>
        </w:tc>
      </w:tr>
      <w:tr w:rsidR="00C63F98" w:rsidRPr="001E3C4D" w14:paraId="35175182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C2BB3D0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Госпошлина за разрешение на работу иностранцев в РФ составляла 3500 руб., выдача приглашений на въезд в Россию за каждого иностранца — 800 руб., разрешений на привлечение и использование иностранной рабочей силы за каждого иностранного работника — 10 000 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39E25A8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госпошлина за разрешение на работу иностранцев в России составляет 4200 руб., выдача приглашений на въезд в РФ за каждого иностранца — 960 руб., разрешение на привлечение и использование иностранной рабочей силы за каждого иностранного работника — 12 000 руб.(</w:t>
            </w:r>
            <w:hyperlink r:id="rId3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 27.11.2023 № 539-ФЗ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164E85F2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9EB9E6" w14:textId="7D24B795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6DA8BCDA" wp14:editId="55A384A6">
                  <wp:extent cx="1525905" cy="1202055"/>
                  <wp:effectExtent l="0" t="0" r="0" b="0"/>
                  <wp:docPr id="7632124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Обновите аптечки первой помощи, которые есть в компании</w:t>
            </w:r>
          </w:p>
        </w:tc>
      </w:tr>
      <w:tr w:rsidR="00C63F98" w:rsidRPr="001E3C4D" w14:paraId="0C29E25C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756323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Аптечка в том числе включала одну одноразовую маску для сердечно-легочной реанимации, две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стерильных салфетки размером не менее 16×14 см, ножницы хирургические общего назначения для перевязочного материала, разрезания тонкой гипсовой повязки, 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диссекционные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ножницы (</w:t>
            </w:r>
            <w:hyperlink r:id="rId3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Минздрава от 15.12.2020 № 1331н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B6927D4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 1 сентября в аптечку кладите две одноразовые маски для сердечно-легочной реанимации. Стерильные салфетки можно приобрести меньшего размера — 16×13 см. Также заменили тип ножниц. Потребуются ножницы для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перевязочного материала или хирургические общего назначения. Аптечки, укомплектованные до 1 сентября, действуют до окончания срока годности (</w:t>
            </w:r>
            <w:hyperlink r:id="rId3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Минздрава от 24.05.2024 № 262н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6F398AF6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DDD9E17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lastRenderedPageBreak/>
              <w:t>Личный интерес</w:t>
            </w:r>
          </w:p>
          <w:p w14:paraId="7A06BACF" w14:textId="2931BA54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D61DDFE" wp14:editId="3F11CEA7">
                  <wp:extent cx="1525905" cy="1202055"/>
                  <wp:effectExtent l="0" t="0" r="0" b="0"/>
                  <wp:docPr id="137726435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Загранпаспорт подорожает</w:t>
            </w:r>
          </w:p>
        </w:tc>
      </w:tr>
      <w:tr w:rsidR="00C63F98" w:rsidRPr="001E3C4D" w14:paraId="6947F0B6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94F1A3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 выдачу загранпаспорта с электронным носителем брали госпошлину 5000 руб. Если паспорт нового поколения нужен был ребенку до 14 лет, пошлина составляла 2500 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06ADD8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июля за выдачу загранпаспорта с электронным носителем берут госпошлину 6000 руб. За паспорт для ребенка — 3000 руб. (</w:t>
            </w:r>
            <w:hyperlink r:id="rId3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 27.11.2023 № 539-ФЗ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C63F98" w:rsidRPr="001E3C4D" w14:paraId="477C8876" w14:textId="77777777" w:rsidTr="004C68BC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7EA6DA2" w14:textId="52153920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E8E6192" wp14:editId="04948DEC">
                  <wp:extent cx="1525905" cy="1202055"/>
                  <wp:effectExtent l="0" t="0" r="0" b="0"/>
                  <wp:docPr id="56452200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ЖКХ получится оплатить без комиссии, но не у всех</w:t>
            </w:r>
          </w:p>
        </w:tc>
      </w:tr>
      <w:tr w:rsidR="00C63F98" w:rsidRPr="001E3C4D" w14:paraId="0EB84ED8" w14:textId="77777777" w:rsidTr="004C68BC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F8C01F1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Банки берут комиссию, когда перечисляют оплату за коммуналку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93343AF" w14:textId="77777777" w:rsidR="00C63F98" w:rsidRPr="001E3C4D" w:rsidRDefault="00C63F98" w:rsidP="004C68BC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июля физиков освободили от комиссии при оплате коммунальных услуг, но не всех, а только пенсионеров, инвалидов многодетных и т. д. (</w:t>
            </w:r>
            <w:hyperlink r:id="rId3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распоряжение Правительства от 27.04.2024 № 1059-Р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</w:tbl>
    <w:p w14:paraId="4FB565C5" w14:textId="77777777" w:rsidR="00C63F98" w:rsidRPr="008E5BC1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7D0E2455" w14:textId="77777777" w:rsidR="00C63F98" w:rsidRPr="008E5BC1" w:rsidRDefault="00C63F98" w:rsidP="00C63F98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2294D50E" w14:textId="77777777" w:rsidR="00C63F98" w:rsidRDefault="00C63F98" w:rsidP="00C63F98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5FD3A83B" w14:textId="363476FC" w:rsidR="00D84CED" w:rsidRPr="00C63F98" w:rsidRDefault="00C63F98" w:rsidP="00C63F98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C63F98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650304"/>
    <w:rsid w:val="00683514"/>
    <w:rsid w:val="00775698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765862&amp;anchor=XA00M602MF" TargetMode="External"/><Relationship Id="rId13" Type="http://schemas.openxmlformats.org/officeDocument/2006/relationships/hyperlink" Target="https://e.glavbukh.ru/npd-doc?npmid=99&amp;npid=901714421&amp;anchor=ZAP1PMA3A8" TargetMode="External"/><Relationship Id="rId18" Type="http://schemas.openxmlformats.org/officeDocument/2006/relationships/hyperlink" Target="https://e.glavbukh.ru/npd-doc?npmid=99&amp;npid=566419544" TargetMode="External"/><Relationship Id="rId26" Type="http://schemas.openxmlformats.org/officeDocument/2006/relationships/hyperlink" Target="https://e.glavbukh.ru/npd-doc?npmid=99&amp;npid=499084713&amp;anchor=XA00LU62M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.glavbukh.ru/npd-doc?npmid=99&amp;npid=901765862&amp;anchor=XA00M962NE" TargetMode="External"/><Relationship Id="rId34" Type="http://schemas.openxmlformats.org/officeDocument/2006/relationships/hyperlink" Target="https://e.glavbukh.ru/npd-doc?npmid=99&amp;npid=1304120324" TargetMode="External"/><Relationship Id="rId7" Type="http://schemas.openxmlformats.org/officeDocument/2006/relationships/hyperlink" Target="https://e.glavbukh.ru/npd-doc?npmid=99&amp;npid=420387339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4.gif"/><Relationship Id="rId25" Type="http://schemas.openxmlformats.org/officeDocument/2006/relationships/hyperlink" Target="https://e.glavbukh.ru/npd-doc?npmid=99&amp;npid=1306081743" TargetMode="External"/><Relationship Id="rId33" Type="http://schemas.openxmlformats.org/officeDocument/2006/relationships/hyperlink" Target="https://e.glavbukh.ru/npd-doc?npmid=99&amp;npid=1306029653" TargetMode="External"/><Relationship Id="rId38" Type="http://schemas.openxmlformats.org/officeDocument/2006/relationships/hyperlink" Target="https://e.glavbukh.ru/npd-doc?npmid=99&amp;npid=13058142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1306078629" TargetMode="External"/><Relationship Id="rId20" Type="http://schemas.openxmlformats.org/officeDocument/2006/relationships/hyperlink" Target="https://e.glavbukh.ru/npd-doc?npmid=99&amp;npid=566419544" TargetMode="External"/><Relationship Id="rId29" Type="http://schemas.openxmlformats.org/officeDocument/2006/relationships/hyperlink" Target="https://e.glavbukh.ru/npd-doc?npmid=99&amp;npid=1306075042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e.glavbukh.ru/npd-doc?npmid=99&amp;npid=1304955364" TargetMode="External"/><Relationship Id="rId24" Type="http://schemas.openxmlformats.org/officeDocument/2006/relationships/hyperlink" Target="https://e.glavbukh.ru/npd-doc?npmid=99&amp;npid=1300338662" TargetMode="External"/><Relationship Id="rId32" Type="http://schemas.openxmlformats.org/officeDocument/2006/relationships/hyperlink" Target="https://e.glavbukh.ru/npd-doc?npmid=99&amp;npid=1304280062&amp;anchor=XA00MA42N7" TargetMode="External"/><Relationship Id="rId37" Type="http://schemas.openxmlformats.org/officeDocument/2006/relationships/hyperlink" Target="https://e.glavbukh.ru/npd-doc?npmid=99&amp;npid=1304120324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.glavbukh.ru/npd-doc?npmid=99&amp;npid=901714421" TargetMode="External"/><Relationship Id="rId23" Type="http://schemas.openxmlformats.org/officeDocument/2006/relationships/hyperlink" Target="https://e.glavbukh.ru/npd-doc?npmid=99&amp;npid=1305935595" TargetMode="External"/><Relationship Id="rId28" Type="http://schemas.openxmlformats.org/officeDocument/2006/relationships/hyperlink" Target="https://e.glavbukh.ru/npd-doc?npmid=99&amp;npid=565039827" TargetMode="External"/><Relationship Id="rId36" Type="http://schemas.openxmlformats.org/officeDocument/2006/relationships/hyperlink" Target="https://e.glavbukh.ru/npd-doc?npmid=99&amp;npid=1306091041" TargetMode="External"/><Relationship Id="rId10" Type="http://schemas.openxmlformats.org/officeDocument/2006/relationships/hyperlink" Target="https://e.glavbukh.ru/npd-doc?npmid=99&amp;npid=901765862&amp;anchor=ZAP25LM3HQ" TargetMode="External"/><Relationship Id="rId19" Type="http://schemas.openxmlformats.org/officeDocument/2006/relationships/hyperlink" Target="https://e.glavbukh.ru/npd-doc?npmid=99&amp;npid=566419544" TargetMode="External"/><Relationship Id="rId31" Type="http://schemas.openxmlformats.org/officeDocument/2006/relationships/hyperlink" Target="https://e.glavbukh.ru/npd-doc?npmid=99&amp;npid=1306017392" TargetMode="External"/><Relationship Id="rId4" Type="http://schemas.openxmlformats.org/officeDocument/2006/relationships/hyperlink" Target="https://e.glavbukh.ru/npd-doc?npmid=99&amp;npid=901807664&amp;anchor=XA00M702MC" TargetMode="External"/><Relationship Id="rId9" Type="http://schemas.openxmlformats.org/officeDocument/2006/relationships/hyperlink" Target="https://e.glavbukh.ru/npd-doc?npmid=99&amp;npid=901714421&amp;anchor=ZAP1PMA3A8" TargetMode="External"/><Relationship Id="rId14" Type="http://schemas.openxmlformats.org/officeDocument/2006/relationships/hyperlink" Target="https://e.glavbukh.ru/npd-doc?npmid=99&amp;npid=901765862&amp;anchor=XA00S0C2P8" TargetMode="External"/><Relationship Id="rId22" Type="http://schemas.openxmlformats.org/officeDocument/2006/relationships/hyperlink" Target="https://e.glavbukh.ru/npd-doc?npmid=99&amp;npid=351488643" TargetMode="External"/><Relationship Id="rId27" Type="http://schemas.openxmlformats.org/officeDocument/2006/relationships/hyperlink" Target="https://e.glavbukh.ru/npd-doc?npmid=99&amp;npid=1305022139" TargetMode="External"/><Relationship Id="rId30" Type="http://schemas.openxmlformats.org/officeDocument/2006/relationships/hyperlink" Target="https://e.glavbukh.ru/npd-doc?npmid=99&amp;npid=901962713" TargetMode="External"/><Relationship Id="rId35" Type="http://schemas.openxmlformats.org/officeDocument/2006/relationships/hyperlink" Target="https://e.glavbukh.ru/npd-doc?npmid=99&amp;npid=573852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2024-07-08T13:26:00Z</dcterms:created>
  <dcterms:modified xsi:type="dcterms:W3CDTF">2024-07-08T13:26:00Z</dcterms:modified>
</cp:coreProperties>
</file>